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default"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eastAsia="zh-CN"/>
        </w:rPr>
        <w:t>A包：微波治疗仪</w:t>
      </w:r>
    </w:p>
    <w:p w14:paraId="00EE159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一、参数</w:t>
      </w:r>
    </w:p>
    <w:p w14:paraId="28A2F014">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输入功率：</w:t>
      </w:r>
      <w:r>
        <w:rPr>
          <w:rFonts w:hint="default" w:ascii="Arial" w:hAnsi="Arial" w:eastAsia="宋体" w:cs="Arial"/>
          <w:sz w:val="24"/>
          <w:szCs w:val="24"/>
          <w:lang w:val="en-US" w:eastAsia="zh-CN"/>
        </w:rPr>
        <w:t>≥</w:t>
      </w:r>
      <w:r>
        <w:rPr>
          <w:rFonts w:hint="eastAsia" w:ascii="宋体" w:hAnsi="宋体" w:eastAsia="宋体" w:cs="宋体"/>
          <w:sz w:val="24"/>
          <w:szCs w:val="24"/>
          <w:lang w:val="en-US" w:eastAsia="zh-CN"/>
        </w:rPr>
        <w:t>1050VA；</w:t>
      </w:r>
    </w:p>
    <w:p w14:paraId="09B1967D">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使用电源：220V，50Hz；</w:t>
      </w:r>
    </w:p>
    <w:p w14:paraId="7462EA65">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sz w:val="24"/>
          <w:szCs w:val="24"/>
          <w:lang w:val="en-US" w:eastAsia="zh-CN"/>
        </w:rPr>
        <w:t>设备配置：立式结构，微电脑控制、单微波源；</w:t>
      </w:r>
    </w:p>
    <w:p w14:paraId="1832E3BC">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sz w:val="24"/>
          <w:szCs w:val="24"/>
          <w:lang w:val="en-US" w:eastAsia="zh-CN"/>
        </w:rPr>
        <w:t>工作频率：2450MHz±30MHz</w:t>
      </w:r>
    </w:p>
    <w:p w14:paraId="293A6B12">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Theme="minorEastAsia" w:hAnsiTheme="minorEastAsia" w:cstheme="minorEastAsia"/>
          <w:color w:val="000000" w:themeColor="text1"/>
          <w:sz w:val="24"/>
          <w:lang w:val="en-US" w:eastAsia="zh-CN"/>
          <w14:textFill>
            <w14:solidFill>
              <w14:schemeClr w14:val="tx1"/>
            </w14:solidFill>
          </w14:textFill>
        </w:rPr>
        <w:t>工作模式包含：理疗模式；</w:t>
      </w:r>
    </w:p>
    <w:p w14:paraId="6AD1E89C">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★输出功率：理疗模式0～80W连续可调，步长可调包含：1W、5W、10W；</w:t>
      </w:r>
    </w:p>
    <w:p w14:paraId="771EE4EF">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sz w:val="24"/>
          <w:szCs w:val="24"/>
          <w:lang w:val="en-US" w:eastAsia="zh-CN"/>
        </w:rPr>
        <w:t>工作时间：理疗模式包含0～30min；</w:t>
      </w:r>
    </w:p>
    <w:p w14:paraId="2A1CCC85">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sz w:val="24"/>
          <w:szCs w:val="24"/>
          <w:lang w:val="en-US" w:eastAsia="zh-CN"/>
        </w:rPr>
        <w:t>输出方式包含：连续式、间歇脉冲式、间歇集束式</w:t>
      </w:r>
      <w:r>
        <w:rPr>
          <w:rFonts w:hint="eastAsia" w:asciiTheme="minorEastAsia" w:hAnsiTheme="minorEastAsia" w:cstheme="minorEastAsia"/>
          <w:color w:val="000000" w:themeColor="text1"/>
          <w:sz w:val="24"/>
          <w:lang w:eastAsia="zh-CN"/>
          <w14:textFill>
            <w14:solidFill>
              <w14:schemeClr w14:val="tx1"/>
            </w14:solidFill>
          </w14:textFill>
        </w:rPr>
        <w:t>；</w:t>
      </w:r>
    </w:p>
    <w:p w14:paraId="3DDB574B">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间歇脉冲式：间歇频率为1Hz±10%，输出时间500ms±20%，间歇时间500ms±20%；</w:t>
      </w:r>
    </w:p>
    <w:p w14:paraId="4BB444E2">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间歇集束式：间歇频率为2Hz±10%，输出时间250ms±20%，间歇时间250ms±20%；</w:t>
      </w:r>
    </w:p>
    <w:p w14:paraId="372D514E">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非期望辐射</w:t>
      </w:r>
      <w:r>
        <w:rPr>
          <w:rFonts w:hint="eastAsia" w:ascii="宋体" w:hAnsi="宋体" w:eastAsia="宋体" w:cs="宋体"/>
          <w:sz w:val="24"/>
          <w:szCs w:val="24"/>
          <w:lang w:eastAsia="zh-CN"/>
        </w:rPr>
        <w:t>：</w:t>
      </w:r>
    </w:p>
    <w:p w14:paraId="075E62CF">
      <w:pPr>
        <w:keepNext w:val="0"/>
        <w:keepLines w:val="0"/>
        <w:pageBreakBefore w:val="0"/>
        <w:widowControl w:val="0"/>
        <w:numPr>
          <w:ilvl w:val="0"/>
          <w:numId w:val="3"/>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在距离非接触理疗应用器前方1m及后方0.25m处的非期望辐射不应超过10mW/cm2；</w:t>
      </w:r>
    </w:p>
    <w:p w14:paraId="0240361D">
      <w:pPr>
        <w:keepNext w:val="0"/>
        <w:keepLines w:val="0"/>
        <w:pageBreakBefore w:val="0"/>
        <w:widowControl w:val="0"/>
        <w:numPr>
          <w:ilvl w:val="0"/>
          <w:numId w:val="3"/>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设备在配合所有适配的热凝器使用时，非期望辐射不应超过10mW/cm2；</w:t>
      </w:r>
    </w:p>
    <w:p w14:paraId="3F8024FC">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sz w:val="24"/>
          <w:szCs w:val="24"/>
          <w:lang w:val="en-US" w:eastAsia="zh-CN"/>
        </w:rPr>
        <w:t>驻波比：</w:t>
      </w:r>
    </w:p>
    <w:p w14:paraId="649588AC">
      <w:pPr>
        <w:keepNext w:val="0"/>
        <w:keepLines w:val="0"/>
        <w:pageBreakBefore w:val="0"/>
        <w:widowControl w:val="0"/>
        <w:numPr>
          <w:ilvl w:val="0"/>
          <w:numId w:val="4"/>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输出线缆及连接器驻波比</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输出线缆及转接器一起使用，在其工作频率下驻波比应不大于1.5；</w:t>
      </w:r>
    </w:p>
    <w:p w14:paraId="567EE4F7">
      <w:pPr>
        <w:keepNext w:val="0"/>
        <w:keepLines w:val="0"/>
        <w:pageBreakBefore w:val="0"/>
        <w:widowControl w:val="0"/>
        <w:numPr>
          <w:ilvl w:val="0"/>
          <w:numId w:val="4"/>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应用器驻波比</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理疗应用器、热凝器在其工作频率下的驻波比不超过3.0；</w:t>
      </w:r>
    </w:p>
    <w:p w14:paraId="25C94037">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t>设备</w:t>
      </w:r>
      <w:r>
        <w:rPr>
          <w:rFonts w:asciiTheme="minorEastAsia" w:hAnsiTheme="minorEastAsia" w:cstheme="minorEastAsia"/>
          <w:color w:val="000000" w:themeColor="text1"/>
          <w:sz w:val="24"/>
          <w14:textFill>
            <w14:solidFill>
              <w14:schemeClr w14:val="tx1"/>
            </w14:solidFill>
          </w14:textFill>
        </w:rPr>
        <w:t>界面</w:t>
      </w:r>
      <w:r>
        <w:rPr>
          <w:rFonts w:hint="eastAsia" w:asciiTheme="minorEastAsia" w:hAnsiTheme="minorEastAsia" w:cstheme="minorEastAsia"/>
          <w:color w:val="000000" w:themeColor="text1"/>
          <w:sz w:val="24"/>
          <w14:textFill>
            <w14:solidFill>
              <w14:schemeClr w14:val="tx1"/>
            </w14:solidFill>
          </w14:textFill>
        </w:rPr>
        <w:t>上可以查看所有通道的运行状态</w:t>
      </w:r>
      <w:r>
        <w:rPr>
          <w:rFonts w:hint="eastAsia" w:asciiTheme="minorEastAsia" w:hAnsiTheme="minorEastAsia" w:cstheme="minorEastAsia"/>
          <w:color w:val="000000" w:themeColor="text1"/>
          <w:sz w:val="24"/>
          <w:lang w:eastAsia="zh-CN"/>
          <w14:textFill>
            <w14:solidFill>
              <w14:schemeClr w14:val="tx1"/>
            </w14:solidFill>
          </w14:textFill>
        </w:rPr>
        <w:t>；</w:t>
      </w:r>
    </w:p>
    <w:p w14:paraId="4FFBEC13">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治疗结束后，机器有蜂鸣器提醒</w:t>
      </w:r>
      <w:r>
        <w:rPr>
          <w:rFonts w:hint="eastAsia" w:asciiTheme="minorEastAsia" w:hAnsiTheme="minorEastAsia" w:cstheme="minorEastAsia"/>
          <w:color w:val="000000" w:themeColor="text1"/>
          <w:sz w:val="24"/>
          <w:lang w:eastAsia="zh-CN"/>
          <w14:textFill>
            <w14:solidFill>
              <w14:schemeClr w14:val="tx1"/>
            </w14:solidFill>
          </w14:textFill>
        </w:rPr>
        <w:t>；</w:t>
      </w:r>
    </w:p>
    <w:p w14:paraId="4A54AFB0">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sz w:val="24"/>
          <w:szCs w:val="24"/>
          <w:lang w:val="en-US" w:eastAsia="zh-CN"/>
        </w:rPr>
        <w:t>★病历信息管理：记录患者姓名、性别、治疗次数等信息，并可删除病历</w:t>
      </w:r>
      <w:r>
        <w:rPr>
          <w:rFonts w:hint="eastAsia" w:asciiTheme="minorEastAsia" w:hAnsiTheme="minorEastAsia" w:cstheme="minorEastAsia"/>
          <w:color w:val="000000" w:themeColor="text1"/>
          <w:sz w:val="24"/>
          <w:lang w:eastAsia="zh-CN"/>
          <w14:textFill>
            <w14:solidFill>
              <w14:schemeClr w14:val="tx1"/>
            </w14:solidFill>
          </w14:textFill>
        </w:rPr>
        <w:t>；</w:t>
      </w:r>
    </w:p>
    <w:p w14:paraId="76268129">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sz w:val="24"/>
          <w:szCs w:val="24"/>
          <w:lang w:val="en-US" w:eastAsia="zh-CN"/>
        </w:rPr>
        <w:t>★支持自定义方案：可新增、修改、载入和删除方案</w:t>
      </w:r>
      <w:r>
        <w:rPr>
          <w:rFonts w:hint="eastAsia" w:asciiTheme="minorEastAsia" w:hAnsiTheme="minorEastAsia" w:cstheme="minorEastAsia"/>
          <w:color w:val="000000" w:themeColor="text1"/>
          <w:sz w:val="24"/>
          <w:lang w:eastAsia="zh-CN"/>
          <w14:textFill>
            <w14:solidFill>
              <w14:schemeClr w14:val="tx1"/>
            </w14:solidFill>
          </w14:textFill>
        </w:rPr>
        <w:t>；</w:t>
      </w:r>
    </w:p>
    <w:p w14:paraId="18A369C2">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hint="eastAsia" w:ascii="宋体" w:hAnsi="宋体" w:eastAsia="宋体" w:cs="宋体"/>
          <w:sz w:val="24"/>
          <w:szCs w:val="24"/>
        </w:rPr>
      </w:pPr>
      <w:r>
        <w:rPr>
          <w:rFonts w:hint="eastAsia" w:asciiTheme="minorEastAsia" w:hAnsiTheme="minorEastAsia" w:cstheme="minorEastAsia"/>
          <w:color w:val="000000" w:themeColor="text1"/>
          <w:sz w:val="24"/>
          <w:lang w:val="en-US" w:eastAsia="zh-CN"/>
          <w14:textFill>
            <w14:solidFill>
              <w14:schemeClr w14:val="tx1"/>
            </w14:solidFill>
          </w14:textFill>
        </w:rPr>
        <w:t>理疗应用器：</w:t>
      </w:r>
      <w:r>
        <w:rPr>
          <w:rFonts w:hint="eastAsia" w:ascii="宋体" w:hAnsi="宋体" w:eastAsia="宋体" w:cs="宋体"/>
          <w:sz w:val="24"/>
          <w:szCs w:val="24"/>
        </w:rPr>
        <w:t>标配1个大圆杯</w:t>
      </w:r>
      <w:r>
        <w:rPr>
          <w:rFonts w:hint="eastAsia" w:ascii="宋体" w:hAnsi="宋体" w:eastAsia="宋体" w:cs="宋体"/>
          <w:sz w:val="24"/>
          <w:szCs w:val="24"/>
          <w:lang w:eastAsia="zh-CN"/>
        </w:rPr>
        <w:t>：</w:t>
      </w:r>
      <w:r>
        <w:rPr>
          <w:rFonts w:hint="eastAsia" w:ascii="宋体" w:hAnsi="宋体" w:eastAsia="宋体" w:cs="宋体"/>
          <w:sz w:val="24"/>
          <w:szCs w:val="24"/>
        </w:rPr>
        <w:t>尺寸：</w:t>
      </w:r>
      <w:r>
        <w:rPr>
          <w:rFonts w:hint="default" w:ascii="Arial" w:hAnsi="Arial" w:eastAsia="宋体" w:cs="Arial"/>
          <w:sz w:val="24"/>
          <w:szCs w:val="24"/>
        </w:rPr>
        <w:t>≥</w:t>
      </w:r>
      <w:r>
        <w:rPr>
          <w:rFonts w:hint="eastAsia" w:ascii="宋体" w:hAnsi="宋体" w:eastAsia="宋体" w:cs="宋体"/>
          <w:sz w:val="24"/>
          <w:szCs w:val="24"/>
        </w:rPr>
        <w:t>φ155mm</w:t>
      </w:r>
      <w:r>
        <w:rPr>
          <w:rFonts w:hint="eastAsia" w:ascii="宋体" w:hAnsi="宋体" w:eastAsia="宋体" w:cs="宋体"/>
          <w:sz w:val="24"/>
          <w:szCs w:val="24"/>
          <w:lang w:eastAsia="zh-CN"/>
        </w:rPr>
        <w:t>；</w:t>
      </w:r>
    </w:p>
    <w:p w14:paraId="4B0063C1">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color w:val="auto"/>
          <w:sz w:val="24"/>
          <w:szCs w:val="24"/>
        </w:rPr>
        <w:t>设备具有Wi-Fi无线网络接口</w:t>
      </w:r>
      <w:r>
        <w:rPr>
          <w:rFonts w:hint="eastAsia" w:asciiTheme="minorEastAsia" w:hAnsiTheme="minorEastAsia" w:cstheme="minorEastAsia"/>
          <w:color w:val="auto"/>
          <w:sz w:val="24"/>
        </w:rPr>
        <w:t>，用于</w:t>
      </w:r>
      <w:r>
        <w:rPr>
          <w:rFonts w:hint="eastAsia" w:asciiTheme="minorEastAsia" w:hAnsiTheme="minorEastAsia" w:cstheme="minorEastAsia"/>
          <w:color w:val="000000" w:themeColor="text1"/>
          <w:sz w:val="24"/>
          <w14:textFill>
            <w14:solidFill>
              <w14:schemeClr w14:val="tx1"/>
            </w14:solidFill>
          </w14:textFill>
        </w:rPr>
        <w:t>数据传输</w:t>
      </w:r>
      <w:r>
        <w:rPr>
          <w:rFonts w:hint="eastAsia" w:asciiTheme="minorEastAsia" w:hAnsiTheme="minorEastAsia" w:cstheme="minorEastAsia"/>
          <w:color w:val="000000" w:themeColor="text1"/>
          <w:sz w:val="24"/>
          <w:lang w:eastAsia="zh-CN"/>
          <w14:textFill>
            <w14:solidFill>
              <w14:schemeClr w14:val="tx1"/>
            </w14:solidFill>
          </w14:textFill>
        </w:rPr>
        <w:t>；</w:t>
      </w:r>
    </w:p>
    <w:p w14:paraId="408F94B2">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lang w:val="en-US" w:eastAsia="zh-CN"/>
          <w14:textFill>
            <w14:solidFill>
              <w14:schemeClr w14:val="tx1"/>
            </w14:solidFill>
          </w14:textFill>
        </w:rPr>
        <w:t>产品</w:t>
      </w:r>
      <w:r>
        <w:rPr>
          <w:rFonts w:hint="eastAsia" w:asciiTheme="minorEastAsia" w:hAnsiTheme="minorEastAsia" w:cstheme="minorEastAsia"/>
          <w:color w:val="000000" w:themeColor="text1"/>
          <w:sz w:val="24"/>
          <w14:textFill>
            <w14:solidFill>
              <w14:schemeClr w14:val="tx1"/>
            </w14:solidFill>
          </w14:textFill>
        </w:rPr>
        <w:t>尺寸：</w:t>
      </w:r>
      <w:r>
        <w:rPr>
          <w:rFonts w:hint="default" w:ascii="Arial" w:hAnsi="Arial" w:cs="Arial"/>
          <w:color w:val="000000" w:themeColor="text1"/>
          <w:sz w:val="24"/>
          <w14:textFill>
            <w14:solidFill>
              <w14:schemeClr w14:val="tx1"/>
            </w14:solidFill>
          </w14:textFill>
        </w:rPr>
        <w:t>≤</w:t>
      </w:r>
      <w:r>
        <w:rPr>
          <w:rFonts w:hint="eastAsia" w:asciiTheme="minorEastAsia" w:hAnsiTheme="minorEastAsia" w:cstheme="minorEastAsia"/>
          <w:color w:val="000000" w:themeColor="text1"/>
          <w:sz w:val="24"/>
          <w14:textFill>
            <w14:solidFill>
              <w14:schemeClr w14:val="tx1"/>
            </w14:solidFill>
          </w14:textFill>
        </w:rPr>
        <w:t>530mm×510mm×853mm</w:t>
      </w:r>
      <w:r>
        <w:rPr>
          <w:rFonts w:hint="eastAsia" w:asciiTheme="minorEastAsia" w:hAnsiTheme="minorEastAsia" w:cstheme="minorEastAsia"/>
          <w:color w:val="000000" w:themeColor="text1"/>
          <w:sz w:val="24"/>
          <w:lang w:eastAsia="zh-CN"/>
          <w14:textFill>
            <w14:solidFill>
              <w14:schemeClr w14:val="tx1"/>
            </w14:solidFill>
          </w14:textFill>
        </w:rPr>
        <w:t>；</w:t>
      </w:r>
    </w:p>
    <w:p w14:paraId="67E1849E">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845" w:leftChars="0" w:hanging="425" w:firstLineChars="0"/>
        <w:jc w:val="left"/>
        <w:textAlignment w:val="auto"/>
        <w:rPr>
          <w:rFonts w:asciiTheme="minorEastAsia" w:hAnsiTheme="minorEastAsia" w:cstheme="minorEastAsia"/>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产品取得计算机软件著作权</w:t>
      </w:r>
      <w:r>
        <w:rPr>
          <w:rFonts w:hint="eastAsia" w:ascii="宋体" w:hAnsi="宋体" w:eastAsia="宋体" w:cs="宋体"/>
          <w:color w:val="000000" w:themeColor="text1"/>
          <w:kern w:val="0"/>
          <w:sz w:val="24"/>
          <w:lang w:eastAsia="zh-CN"/>
          <w14:textFill>
            <w14:solidFill>
              <w14:schemeClr w14:val="tx1"/>
            </w14:solidFill>
          </w14:textFill>
        </w:rPr>
        <w:t>。</w:t>
      </w:r>
    </w:p>
    <w:p w14:paraId="0054DFF9">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p>
    <w:p w14:paraId="1C85AF9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p>
    <w:p w14:paraId="69133D4B">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p>
    <w:p w14:paraId="0A55355E">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bookmarkStart w:id="0" w:name="_GoBack"/>
      <w:bookmarkEnd w:id="0"/>
    </w:p>
    <w:p w14:paraId="2CBE539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01502F"/>
    <w:multiLevelType w:val="singleLevel"/>
    <w:tmpl w:val="8501502F"/>
    <w:lvl w:ilvl="0" w:tentative="0">
      <w:start w:val="1"/>
      <w:numFmt w:val="decimal"/>
      <w:suff w:val="space"/>
      <w:lvlText w:val="%1."/>
      <w:lvlJc w:val="left"/>
      <w:pPr>
        <w:ind w:left="845" w:hanging="425"/>
      </w:pPr>
      <w:rPr>
        <w:rFonts w:hint="default"/>
      </w:rPr>
    </w:lvl>
  </w:abstractNum>
  <w:abstractNum w:abstractNumId="1">
    <w:nsid w:val="86F80BE9"/>
    <w:multiLevelType w:val="singleLevel"/>
    <w:tmpl w:val="86F80BE9"/>
    <w:lvl w:ilvl="0" w:tentative="0">
      <w:start w:val="1"/>
      <w:numFmt w:val="decimal"/>
      <w:suff w:val="space"/>
      <w:lvlText w:val="(%1)"/>
      <w:lvlJc w:val="left"/>
      <w:pPr>
        <w:ind w:left="845" w:hanging="425"/>
      </w:pPr>
      <w:rPr>
        <w:rFonts w:hint="default"/>
      </w:rPr>
    </w:lvl>
  </w:abstractNum>
  <w:abstractNum w:abstractNumId="2">
    <w:nsid w:val="4E0D500D"/>
    <w:multiLevelType w:val="singleLevel"/>
    <w:tmpl w:val="4E0D500D"/>
    <w:lvl w:ilvl="0" w:tentative="0">
      <w:start w:val="1"/>
      <w:numFmt w:val="decimal"/>
      <w:suff w:val="space"/>
      <w:lvlText w:val="(%1)"/>
      <w:lvlJc w:val="left"/>
      <w:pPr>
        <w:ind w:left="845" w:hanging="425"/>
      </w:pPr>
      <w:rPr>
        <w:rFonts w:hint="default"/>
      </w:rPr>
    </w:lvl>
  </w:abstractNum>
  <w:abstractNum w:abstractNumId="3">
    <w:nsid w:val="7014A8F5"/>
    <w:multiLevelType w:val="singleLevel"/>
    <w:tmpl w:val="7014A8F5"/>
    <w:lvl w:ilvl="0" w:tentative="0">
      <w:start w:val="1"/>
      <w:numFmt w:val="decimal"/>
      <w:suff w:val="space"/>
      <w:lvlText w:val="(%1)"/>
      <w:lvlJc w:val="left"/>
      <w:pPr>
        <w:ind w:left="845" w:hanging="425"/>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7C1EEB"/>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864EE9"/>
    <w:rsid w:val="0D962476"/>
    <w:rsid w:val="0DB561B0"/>
    <w:rsid w:val="0DBB5599"/>
    <w:rsid w:val="0E3E3CC5"/>
    <w:rsid w:val="0E8C5784"/>
    <w:rsid w:val="0E987433"/>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D25ACE"/>
    <w:rsid w:val="1EE050BB"/>
    <w:rsid w:val="1F706B51"/>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69E4DFC"/>
    <w:rsid w:val="27385983"/>
    <w:rsid w:val="275E599B"/>
    <w:rsid w:val="27B9295C"/>
    <w:rsid w:val="2802122E"/>
    <w:rsid w:val="28BB710C"/>
    <w:rsid w:val="28C36618"/>
    <w:rsid w:val="292024ED"/>
    <w:rsid w:val="292D519A"/>
    <w:rsid w:val="29314BC6"/>
    <w:rsid w:val="297A286D"/>
    <w:rsid w:val="29AC0E2A"/>
    <w:rsid w:val="29E13C36"/>
    <w:rsid w:val="2A7A5C2D"/>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B44AD5"/>
    <w:rsid w:val="30DB68B2"/>
    <w:rsid w:val="312B554B"/>
    <w:rsid w:val="31331A23"/>
    <w:rsid w:val="316F012F"/>
    <w:rsid w:val="31821737"/>
    <w:rsid w:val="31CE7227"/>
    <w:rsid w:val="31DA47F8"/>
    <w:rsid w:val="32101599"/>
    <w:rsid w:val="32193C10"/>
    <w:rsid w:val="32703207"/>
    <w:rsid w:val="332835CD"/>
    <w:rsid w:val="333312F4"/>
    <w:rsid w:val="33672669"/>
    <w:rsid w:val="33E01DF8"/>
    <w:rsid w:val="340B4DA0"/>
    <w:rsid w:val="34A376A5"/>
    <w:rsid w:val="34DB551B"/>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360F9D"/>
    <w:rsid w:val="3F4C08E9"/>
    <w:rsid w:val="3F827B03"/>
    <w:rsid w:val="3F854EC4"/>
    <w:rsid w:val="3FAA774D"/>
    <w:rsid w:val="3FE5085E"/>
    <w:rsid w:val="4112321C"/>
    <w:rsid w:val="41150917"/>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256E1A"/>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C0736A1"/>
    <w:rsid w:val="4C07754B"/>
    <w:rsid w:val="4CA801EC"/>
    <w:rsid w:val="4CD31462"/>
    <w:rsid w:val="4CE104F0"/>
    <w:rsid w:val="4CFD744F"/>
    <w:rsid w:val="4D042B67"/>
    <w:rsid w:val="4D5A7B8E"/>
    <w:rsid w:val="4D744DC7"/>
    <w:rsid w:val="4D873A58"/>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B52C9E"/>
    <w:rsid w:val="5E3342AE"/>
    <w:rsid w:val="5F127CC1"/>
    <w:rsid w:val="5F874378"/>
    <w:rsid w:val="5FAE5865"/>
    <w:rsid w:val="5FE67C01"/>
    <w:rsid w:val="60380312"/>
    <w:rsid w:val="60656458"/>
    <w:rsid w:val="60782248"/>
    <w:rsid w:val="60930C3D"/>
    <w:rsid w:val="60B12766"/>
    <w:rsid w:val="60BE5163"/>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5D7AE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1814</Words>
  <Characters>2045</Characters>
  <Lines>0</Lines>
  <Paragraphs>0</Paragraphs>
  <TotalTime>3</TotalTime>
  <ScaleCrop>false</ScaleCrop>
  <LinksUpToDate>false</LinksUpToDate>
  <CharactersWithSpaces>2102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2025-12-09T09:59:12Z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8B65A17FFA59470A9531665EB1F06673_13</vt:lpwstr>
  </property>
  <property fmtid="{D5CDD505-2E9C-101B-9397-08002B2CF9AE}" pid="4" name="KSOTemplateDocerSaveRecord">
    <vt:lpwstr>eyJoZGlkIjoiMWZlOGMyNzU0NDE2NzYzMGE0MWRhNmUwMzM1OWU0OGEiLCJ1c2VySWQiOiIxNDYwMjQ5NTM2In0=</vt:lpwstr>
  </property>
</Properties>
</file>